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676776B2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202</w:t>
      </w:r>
      <w:r w:rsidR="000A7F34">
        <w:rPr>
          <w:rFonts w:ascii="Corbel" w:hAnsi="Corbel"/>
          <w:smallCaps/>
          <w:sz w:val="24"/>
          <w:szCs w:val="24"/>
        </w:rPr>
        <w:t>1</w:t>
      </w:r>
      <w:r w:rsidR="00DC6D0C" w:rsidRPr="00E11332">
        <w:rPr>
          <w:rFonts w:ascii="Corbel" w:hAnsi="Corbel"/>
          <w:smallCaps/>
          <w:sz w:val="24"/>
          <w:szCs w:val="24"/>
        </w:rPr>
        <w:t>-202</w:t>
      </w:r>
      <w:r w:rsidR="000A7F34">
        <w:rPr>
          <w:rFonts w:ascii="Corbel" w:hAnsi="Corbel"/>
          <w:smallCaps/>
          <w:sz w:val="24"/>
          <w:szCs w:val="24"/>
        </w:rPr>
        <w:t>4</w:t>
      </w:r>
    </w:p>
    <w:p w14:paraId="3A84D7DD" w14:textId="52C5D756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0A7F3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0A7F3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2522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CF2522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77777777" w:rsidR="00CE7357" w:rsidRPr="001E3B48" w:rsidRDefault="00E11332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związków </w:t>
            </w:r>
            <w:proofErr w:type="spellStart"/>
            <w:r w:rsidRPr="00ED152A">
              <w:rPr>
                <w:rFonts w:ascii="Corbel" w:eastAsia="Corbel" w:hAnsi="Corbel" w:cs="Corbel"/>
                <w:b w:val="0"/>
                <w:sz w:val="24"/>
              </w:rPr>
              <w:t>przyczynowo-skutkowych</w:t>
            </w:r>
            <w:proofErr w:type="spellEnd"/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 xml:space="preserve">Możliwość wykorzystanie platformy MS </w:t>
      </w:r>
      <w:proofErr w:type="spellStart"/>
      <w:r>
        <w:rPr>
          <w:rFonts w:ascii="Corbel" w:hAnsi="Corbel"/>
          <w:color w:val="000000"/>
          <w:sz w:val="24"/>
          <w:szCs w:val="24"/>
        </w:rPr>
        <w:t>Teams</w:t>
      </w:r>
      <w:proofErr w:type="spellEnd"/>
      <w:r>
        <w:rPr>
          <w:rFonts w:ascii="Corbel" w:hAnsi="Corbel"/>
          <w:color w:val="000000"/>
          <w:sz w:val="24"/>
          <w:szCs w:val="24"/>
        </w:rPr>
        <w:t>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7EA712E6" w:rsidR="00425740" w:rsidRPr="009C54AE" w:rsidRDefault="00D64086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1E6ED" w14:textId="77777777" w:rsidR="00BC347A" w:rsidRDefault="00BC347A" w:rsidP="00C16ABF">
      <w:pPr>
        <w:spacing w:after="0" w:line="240" w:lineRule="auto"/>
      </w:pPr>
      <w:r>
        <w:separator/>
      </w:r>
    </w:p>
  </w:endnote>
  <w:endnote w:type="continuationSeparator" w:id="0">
    <w:p w14:paraId="0E4CBAF2" w14:textId="77777777" w:rsidR="00BC347A" w:rsidRDefault="00BC34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43EEE" w14:textId="77777777" w:rsidR="00BC347A" w:rsidRDefault="00BC347A" w:rsidP="00C16ABF">
      <w:pPr>
        <w:spacing w:after="0" w:line="240" w:lineRule="auto"/>
      </w:pPr>
      <w:r>
        <w:separator/>
      </w:r>
    </w:p>
  </w:footnote>
  <w:footnote w:type="continuationSeparator" w:id="0">
    <w:p w14:paraId="3250ED4C" w14:textId="77777777" w:rsidR="00BC347A" w:rsidRDefault="00BC347A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A7F34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47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B644D-BDDC-4EE7-AF42-F17A71C8A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1308</Words>
  <Characters>7854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2020-10-23T12:39:00Z</dcterms:created>
  <dcterms:modified xsi:type="dcterms:W3CDTF">2021-09-03T09:42:00Z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